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bookmarkStart w:id="1" w:name="_GoBack"/>
      <w:bookmarkEnd w:id="1"/>
      <w:r>
        <w:t>Simulare pe tema acțiunilor în favoarea climei: industrie și comerț</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Destinatari:</w:t>
      </w:r>
      <w:r>
        <w:tab/>
        <w:t>Negociatorii-șefi pentru industrie și comerț</w:t>
      </w:r>
    </w:p>
    <w:p w:rsidR="00097510" w:rsidRPr="00D81B2C" w:rsidRDefault="00D81B2C">
      <w:pPr>
        <w:pStyle w:val="Bodytext30"/>
        <w:shd w:val="clear" w:color="auto" w:fill="auto"/>
        <w:tabs>
          <w:tab w:val="left" w:pos="1440"/>
        </w:tabs>
        <w:spacing w:before="0" w:after="120"/>
      </w:pPr>
      <w:r>
        <w:t>Subiect:</w:t>
      </w:r>
      <w:r>
        <w:tab/>
        <w:t xml:space="preserve">Pregătirea </w:t>
      </w:r>
      <w:proofErr w:type="spellStart"/>
      <w:r>
        <w:t>summitului</w:t>
      </w:r>
      <w:proofErr w:type="spellEnd"/>
      <w:r>
        <w:t xml:space="preserve"> pentru acțiuni climatice</w:t>
      </w:r>
    </w:p>
    <w:p w:rsidR="00097510" w:rsidRPr="00D81B2C" w:rsidRDefault="00D81B2C" w:rsidP="00186876">
      <w:pPr>
        <w:pStyle w:val="Bodytext20"/>
        <w:shd w:val="clear" w:color="auto" w:fill="auto"/>
        <w:spacing w:before="0"/>
        <w:ind w:firstLine="0"/>
        <w:jc w:val="both"/>
      </w:pPr>
      <w:r>
        <w:t xml:space="preserve">Bine ați venit la </w:t>
      </w:r>
      <w:proofErr w:type="spellStart"/>
      <w:r>
        <w:t>summitul</w:t>
      </w:r>
      <w:proofErr w:type="spellEnd"/>
      <w:r>
        <w:t xml:space="preserve"> pentru acțiuni climatice. Împreună cu liderii tuturor părților interesate relevante, ați fost invitat de secretarul general al ONU să colaborați pentru a găsi soluții eficiente de combatere a schimbărilor climatice. În invitația sa, secretarul general </w:t>
      </w:r>
      <w:r>
        <w:rPr>
          <w:rStyle w:val="Bodytext21"/>
        </w:rPr>
        <w:t>a afirmat</w:t>
      </w:r>
      <w:r>
        <w:t>: „Urgența climatică este o cursă pe cale să o pierdem, deși o putem câștiga... Crema științei ... ne asigură că orice creștere a temperaturii cu peste 1,5 °C va produce daune majore și ireversibile ecosistemelor care ne țin în viață ... Dar tot știința ne spune că nu este prea târziu. Putem reuși... Dar va fi nevoie de schimbări fundamentale în toate aspectele societății – cum ne vom obține hrana, cum vom utiliza terenurile, cum ne vom alimenta transporturile și ce energie vom folosi în economie... Dacă vom acționa împreună, nimeni nu va fi lăsat deoparte.”</w:t>
      </w:r>
    </w:p>
    <w:p w:rsidR="00097510" w:rsidRPr="00D81B2C" w:rsidRDefault="00D81B2C" w:rsidP="00186876">
      <w:pPr>
        <w:pStyle w:val="Bodytext20"/>
        <w:shd w:val="clear" w:color="auto" w:fill="auto"/>
        <w:spacing w:before="0"/>
        <w:ind w:firstLine="0"/>
        <w:jc w:val="both"/>
      </w:pPr>
      <w:r>
        <w:t xml:space="preserve">Obiectivul </w:t>
      </w:r>
      <w:proofErr w:type="spellStart"/>
      <w:r>
        <w:t>summitului</w:t>
      </w:r>
      <w:proofErr w:type="spellEnd"/>
      <w:r>
        <w:t xml:space="preserve"> este de a crea un plan de limitare a încălzirii globale la mai puțin de 2 C [3,6 F] comparativ cu nivelurile preindustriale și de a depune eforturi de limitare a ei la 1,5 C [2,7 F], acestea fiind țintele internaționale recunoscute în mod oficial în Acordul de la Paris privind schimbările climatice. </w:t>
      </w:r>
      <w:r>
        <w:rPr>
          <w:rStyle w:val="Bodytext21"/>
        </w:rPr>
        <w:t>Dovezile științifice</w:t>
      </w:r>
      <w:r>
        <w:t xml:space="preserve"> sunt clare: încălzirea peste această limită va genera efecte catastrofale și ireversibile care vor amenința sănătatea, prosperitatea și viața oamenilor din toate țările.</w:t>
      </w:r>
    </w:p>
    <w:p w:rsidR="00097510" w:rsidRPr="00D81B2C" w:rsidRDefault="00D81B2C" w:rsidP="00186876">
      <w:pPr>
        <w:pStyle w:val="Bodytext20"/>
        <w:shd w:val="clear" w:color="auto" w:fill="auto"/>
        <w:spacing w:before="0" w:after="140"/>
        <w:ind w:firstLine="0"/>
        <w:jc w:val="both"/>
      </w:pPr>
      <w:r>
        <w:t>Reprezentați grupul directorilor executivi ai principalelor sectoare și corporații din lume responsabile de consumul de energie, printre care: producători de autovehicule, companii aeriene, companii de transport maritim și transport de mărfuri, fabricanți de bunuri industriale și de bunuri de consum, constructori, deținători de proprietăți imobiliare rezidențiale și comerciale, producători de produse de consum, industria informatică și alte mari întreprinderi.</w:t>
      </w:r>
    </w:p>
    <w:p w:rsidR="00097510" w:rsidRPr="00D81B2C" w:rsidRDefault="00D81B2C">
      <w:pPr>
        <w:pStyle w:val="Bodytext20"/>
        <w:shd w:val="clear" w:color="auto" w:fill="auto"/>
        <w:spacing w:before="0" w:after="100" w:line="244" w:lineRule="exact"/>
        <w:ind w:firstLine="0"/>
        <w:jc w:val="both"/>
      </w:pPr>
      <w:r>
        <w:t>Prioritățile dumneavoastră politice sunt enumerate mai jos. Puteți însă propune sau bloca orice soluție politică disponibilă.</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Mențineți prețurile energiei la un nivel scăzut. </w:t>
      </w:r>
      <w:r>
        <w:t>Costurile produselor cresc odată cu creșterea prețurilor energiei, prin urmare oamenii vor fi mai puțin dispuși să vă cumpere produsele. Militați pentru menținerea unui preț scăzut al energiei, contestând aplicarea de taxe energetice și de prețuri ridicate ale carbonului și solicitând totodată acordarea de subvenții pentru energie. Reflectați asupra modului în care politicile pe care grupul dumneavoastră și alte grupuri le propuneți ar afecta costul energiei.</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Stimulați eficiența energetică a transporturilor, clădirilor și industriei. </w:t>
      </w:r>
      <w:r>
        <w:t>Eficiența energetică înseamnă utilizarea unei cantități mai mici de energie pentru furnizarea acelorași servicii sau produse. Creșterea eficienței energetice duce uneori la creșterea costurilor inițiale, dar și la reducerea costurilor de exploatare, generând astfel economii pe termen lung. Îmbunătățirea eficienței poate fi o opțiune atractivă pentru reducerea emisiilor de gaze cu efect de seră (GES). Cu toate acestea, vă opuneți politicilor și reglementărilor care ar implica creșteri semnificative ale eficienței, pentru a evita modificări rapide și costisitoare în procesul de producție al întreprinderilor dumneavoastră.</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Studiați posibilitatea electrificării transportului, clădirilor și industriei. </w:t>
      </w:r>
      <w:r>
        <w:t>În prezent, industria transporturilor depinde în mare măsură de petrol pentru alimentarea autovehiculelor, camioanelor, navelor, trenurilor și avioanelor. În plus, emisiile de gaze cu efect de seră emise de clădiri provin în principal din combustibilii fosili utilizați pentru încălzire. Dacă ar fi electrificate, transporturile, încălzirea și procesele industriale ar putea fi, în final, alimentate cu energie din surse regenerabile, dacă aceste surse de energie electrică ar fi fiabile și mai ieftine decât combustibilii fosili.</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lastRenderedPageBreak/>
        <w:t xml:space="preserve">Încurajați acțiunile care nu afectează în mod direct sectorul dumneavoastră de activitate. </w:t>
      </w:r>
      <w:r>
        <w:t>Deși înțelegeți că schimbările climatice sunt periculoase, aveți totuși îndatorirea de a apăra interesele acționarilor. Prin urmare, susțineți politici care ar putea reduce emisiile de gaze cu efect de seră fără a vă afecta sectorul de activitate. Deși emisiile de CO</w:t>
      </w:r>
      <w:r>
        <w:rPr>
          <w:vertAlign w:val="subscript"/>
        </w:rPr>
        <w:t>2</w:t>
      </w:r>
      <w:r>
        <w:t xml:space="preserve"> ce provin din utilizarea combustibililor fosili contribuie cel mai mult la schimbările climatice, metanul (CH</w:t>
      </w:r>
      <w:r>
        <w:rPr>
          <w:vertAlign w:val="subscript"/>
        </w:rPr>
        <w:t>4</w:t>
      </w:r>
      <w:r>
        <w:t>), oxidul de azot (N</w:t>
      </w:r>
      <w:r>
        <w:rPr>
          <w:vertAlign w:val="subscript"/>
        </w:rPr>
        <w:t>2</w:t>
      </w:r>
      <w:r>
        <w:t>O) și alte gaze sunt posibile gaze cu efect de seră, iar impactul lor este în creștere. Practicile agricole și forestiere de la nivel mondial contribuie în mare măsură la aceste emisii de gaze. Susțineți politici de reducere a acestor alte gaze cu efect de seră, inclusiv a emisiilor rezultate din exploatarea terenurilor, agricultură și silvicultură. Susțineți eforturile de a reduce defrișările și de a planta păduri noi (împădurire).</w:t>
      </w:r>
    </w:p>
    <w:p w:rsidR="00097510" w:rsidRPr="00D81B2C" w:rsidRDefault="00D81B2C" w:rsidP="00186876">
      <w:pPr>
        <w:pStyle w:val="Bodytext50"/>
        <w:keepNext/>
        <w:widowControl/>
        <w:shd w:val="clear" w:color="auto" w:fill="auto"/>
        <w:spacing w:before="0" w:after="100"/>
      </w:pPr>
      <w:r>
        <w:t>Considerații suplimentare</w:t>
      </w:r>
    </w:p>
    <w:p w:rsidR="00097510" w:rsidRPr="00D81B2C" w:rsidRDefault="00D81B2C" w:rsidP="00186876">
      <w:pPr>
        <w:pStyle w:val="Bodytext20"/>
        <w:shd w:val="clear" w:color="auto" w:fill="auto"/>
        <w:spacing w:before="0"/>
        <w:ind w:firstLine="0"/>
        <w:jc w:val="both"/>
      </w:pPr>
      <w:r>
        <w:t>Sectoarele pe care le reprezentați s-au dezvoltat într-o epocă a energiei ieftine, iar modelele dumneavoastră de afaceri presupun că combustibilul și energia electrică vor rămâne ieftine și abundente. Creșterea semnificativă a eficienței energetice impune schimbări culturale substanțiale și noi capacități. Unii dintre principalii dumneavoastră parteneri, printre care producătorii de autovehicule tradiționali, industria aeronautică, transportorii maritimi și de marfă ar putea fi afectați de politicile care cresc prețurile carburanților. Este posibil ca unii dintre ei să nu supraviețuiască. În alte sectoare, unele produse eficiente din punct de vedere energetic pot fi vândute cu o marjă importantă și pot genera profit. Eficiența energetică nu numai că reduce cererea de energie, dar poate și să îmbunătățească reziliența societății la dezastrele climatice. De exemplu, o casă bine izolată păstrează căldură, chiar dacă o furtună lovește liniile electrice. Intensitatea energetică a economiei (consumul de energie pe unitate de PIB real) scade cu aproximativ 1,3 % pe an, tendință care se va menține, se pare, în deceniile următoare. Unii analiști consideră că intensitatea energetică ar putea scădea cu 5-7 % pe an (cu anumite costuri, și nu în toate sectoarele).</w:t>
      </w:r>
    </w:p>
    <w:p w:rsidR="00097510" w:rsidRPr="00D81B2C" w:rsidRDefault="00D81B2C" w:rsidP="00186876">
      <w:pPr>
        <w:pStyle w:val="Bodytext20"/>
        <w:shd w:val="clear" w:color="auto" w:fill="auto"/>
        <w:spacing w:before="0"/>
        <w:ind w:firstLine="0"/>
        <w:jc w:val="both"/>
      </w:pPr>
      <w:r>
        <w:t>Unii lideri din sectorul dumneavoastră semnalează că multe proiecte în materie de eficiență energetică au perioade de amortizare scurte și oferă o valoare actuală netă pozitivă, cu puține riscuri. Mecanisme inovatoare de finanțare ar putea reinvesti economiile realizate prin reducerea costurilor energiei, pentru a finanța noi proiecte de eficiență energetică, astfel încât aceste proiecte să fie atractive din punct de vedere financiar pentru părțile interesate.</w:t>
      </w:r>
    </w:p>
    <w:p w:rsidR="00097510" w:rsidRPr="00D81B2C" w:rsidRDefault="00D81B2C" w:rsidP="00186876">
      <w:pPr>
        <w:pStyle w:val="Bodytext20"/>
        <w:shd w:val="clear" w:color="auto" w:fill="auto"/>
        <w:spacing w:before="0"/>
        <w:ind w:firstLine="0"/>
        <w:jc w:val="both"/>
      </w:pPr>
      <w:r>
        <w:t>Sectorul imobiliar este în expansiune la nivel mondial într-un ritm fără precedent, ca efect al creșterii populației mondiale și al creșterii economice. În următorii 40 de ani, suprafața construcțiilor noi se va ridica, probabil, la 230 miliarde de metri pătrați; în fiecare săptămână, ea crește, la nivelul planetei, cu o suprafață egală cu cea a Parisului. Sunt necesare noi politici și stimulente pentru a accelera, la nivel mondial, eficiența energetică și producția de energie din surse regenerabile în sectorul construcțiilor și pentru a moderniza structurile existente. Clădirile noi și reabilitarea energetică a clădirilor existente pot reduce consumul de energie cu 25-80 % sau mai mult, iar apariția clădirilor al căror consum de energie este aproape egal cu zero este în prezent posibilă și profitabilă în multe zone. Industriile mari consumatoare de energie, cum ar fi industria fierului, oțelului și cimentului, au devenit mai eficiente prin introducerea de echipamente noi și reutilizarea căldurii reziduale. Introducerea de motoare și sisteme de transmisie eficiente și corect dimensionate poate duce la economii de energie de 20-25 %. Cu toate acestea, durata de viață a clădirilor, a vehiculelor și a infrastructurii limitează rata de îmbunătățire și evidențiază importanța modernizărilor, nu doar a noilor investiții.</w:t>
      </w:r>
    </w:p>
    <w:p w:rsidR="00097510" w:rsidRPr="00D81B2C" w:rsidRDefault="00D81B2C" w:rsidP="00186876">
      <w:pPr>
        <w:pStyle w:val="Bodytext20"/>
        <w:shd w:val="clear" w:color="auto" w:fill="auto"/>
        <w:spacing w:before="0"/>
        <w:ind w:firstLine="0"/>
        <w:jc w:val="both"/>
      </w:pPr>
      <w:r>
        <w:t>În ciuda acestor posibilități, trebuie să fiți vigilenți în fața politicilor care ar impune noi costuri pentru desfășurarea de activități economice, printre care majorări semnificative ale prețului energiei pentru întreprinderile dumneavoastră. Sunteți un grup care a mizat întotdeauna pe inovare, prin urmare puteți găsi interesante soluții tehnologice de reducere a emisiilor de GES și puteți sprijini subvențiile publice care creează noi oportunități de afaceri.</w:t>
      </w:r>
    </w:p>
    <w:p w:rsidR="00097510" w:rsidRPr="00D81B2C" w:rsidRDefault="00D81B2C" w:rsidP="003D7E89">
      <w:pPr>
        <w:pStyle w:val="Bodytext20"/>
        <w:keepNext/>
        <w:keepLines/>
        <w:shd w:val="clear" w:color="auto" w:fill="auto"/>
        <w:spacing w:before="0" w:after="0"/>
        <w:ind w:firstLine="0"/>
        <w:jc w:val="both"/>
      </w:pPr>
      <w:r>
        <w:lastRenderedPageBreak/>
        <w:t xml:space="preserve">Știți că emisiile de gaze cu efect de seră trebuie reduse pentru a se evita cele mai grave efecte ale schimbărilor climatice. Creșterea nivelului mării, condițiile meteorologice extreme și perturbările geopolitice reprezintă riscuri grave pentru lanțurile de aprovizionare, clienți și angajați. Agravarea daunelor cauzate de schimbările climatice face să crească și probabilitatea unor politici și reglementări radicale, care ar avea ca efect creșterea costurilor energiei și ar aduce prejudicii sectorului dumneavoastră de activitate. Dacă acționați pentru a preveni politicile și reglementările care ar putea penaliza în mod inechitabil sectorul dumneavoastră de activitate, trebuie, totodată, să căutați căi de reducere a emisiilor de gaze cu efect de seră și să încetiniți schimbările climatice, astfel încât să vă puteți menține rentabilitatea și să supraviețuiți pe o planetă în proces de încălzire. După cum spunea Paul </w:t>
      </w:r>
      <w:proofErr w:type="spellStart"/>
      <w:r>
        <w:t>Polman</w:t>
      </w:r>
      <w:proofErr w:type="spellEnd"/>
      <w:r>
        <w:t>, director general al Unilever, „</w:t>
      </w:r>
      <w:r>
        <w:rPr>
          <w:rStyle w:val="Bodytext21"/>
        </w:rPr>
        <w:t>nu există niciun profit pe o planetă moartă</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Elaborat de „Climate Interactive”, inițiativa pentru dezvoltare durabilă a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a MIT, ESB Business </w:t>
    </w:r>
    <w:proofErr w:type="spellStart"/>
    <w:r>
      <w:rPr>
        <w:i/>
        <w:sz w:val="20"/>
        <w:szCs w:val="20"/>
      </w:rPr>
      <w:t>School</w:t>
    </w:r>
    <w:proofErr w:type="spellEnd"/>
    <w:r>
      <w:rPr>
        <w:i/>
        <w:sz w:val="20"/>
        <w:szCs w:val="20"/>
      </w:rPr>
      <w:t xml:space="preserve"> și de inițiativa privind schimbările climatice a Universității Massachusetts </w:t>
    </w:r>
    <w:proofErr w:type="spellStart"/>
    <w:r>
      <w:rPr>
        <w:i/>
        <w:sz w:val="20"/>
        <w:szCs w:val="20"/>
      </w:rPr>
      <w:t>Lowell</w:t>
    </w:r>
    <w:proofErr w:type="spellEnd"/>
    <w:r>
      <w:rPr>
        <w:i/>
        <w:sz w:val="20"/>
        <w:szCs w:val="20"/>
      </w:rPr>
      <w:t xml:space="preserve">. Ultima actualizare: septembrie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3D7E89"/>
    <w:rsid w:val="006C74FC"/>
    <w:rsid w:val="006D1734"/>
    <w:rsid w:val="00A54829"/>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59F55A-AC09-4EDB-AE55-63EFAE749D0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CTJJHAUHWN5E-644613129-3170</_dlc_DocId>
    <_dlc_DocIdUrl xmlns="bfc960a6-20da-4c94-8684-71380fca093b">
      <Url>http://dm2016/eesc/2019/_layouts/15/DocIdRedir.aspx?ID=CTJJHAUHWN5E-644613129-3170</Url>
      <Description>CTJJHAUHWN5E-644613129-3170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57</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196042A-5163-4149-B02A-F0A960B11D15}"/>
</file>

<file path=customXml/itemProps2.xml><?xml version="1.0" encoding="utf-8"?>
<ds:datastoreItem xmlns:ds="http://schemas.openxmlformats.org/officeDocument/2006/customXml" ds:itemID="{B66A0CBE-A89A-4C39-A1F7-BFDE512021BC}"/>
</file>

<file path=customXml/itemProps3.xml><?xml version="1.0" encoding="utf-8"?>
<ds:datastoreItem xmlns:ds="http://schemas.openxmlformats.org/officeDocument/2006/customXml" ds:itemID="{28346849-20B3-4DCF-A04E-D321991EE715}"/>
</file>

<file path=customXml/itemProps4.xml><?xml version="1.0" encoding="utf-8"?>
<ds:datastoreItem xmlns:ds="http://schemas.openxmlformats.org/officeDocument/2006/customXml" ds:itemID="{603702AF-2390-45D8-9544-EA5AA6439508}"/>
</file>

<file path=docProps/app.xml><?xml version="1.0" encoding="utf-8"?>
<Properties xmlns="http://schemas.openxmlformats.org/officeDocument/2006/extended-properties" xmlns:vt="http://schemas.openxmlformats.org/officeDocument/2006/docPropsVTypes">
  <Template>Styles.dotm</Template>
  <TotalTime>18</TotalTime>
  <Pages>3</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5 - Industrie și comerț </dc:title>
  <cp:keywords>EESC-2019-05163-04-00-INFO-TRA-EN</cp:keywords>
  <dc:description>Rapporteur:  - Original language: EN - Date of document: 11/12/2019 - Date of meeting:  - External documents:  - Administrator: MME LAHOUSSE Chloé</dc:description>
  <cp:lastModifiedBy>Daniela Greff</cp:lastModifiedBy>
  <cp:revision>5</cp:revision>
  <dcterms:created xsi:type="dcterms:W3CDTF">2019-11-15T10:30:00Z</dcterms:created>
  <dcterms:modified xsi:type="dcterms:W3CDTF">2019-12-11T11:04:00Z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5912f391-6b31-491f-a90f-a68567cd0bcb</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57;#RO|feb747a2-64cd-4299-af12-4833ddc30497;#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R|d2afafd3-4c81-4f60-8f52-ee33f2f54ff3;IT|0774613c-01ed-4e5d-a25d-11d2388de825;MK|34ce48bb-063e-4413-a932-50853dc71c5c;EL|6d4f4d51-af9b-4650-94b4-4276bee85c91;DE|f6b31e5a-26fa-4935-b661-318e46daf27e;CS|72f9705b-0217-4fd3-bea2-cbc7ed80e26e;ET|ff6c3f4c-b02c-4c3c-ab07-2c37995a7a0a;FI|87606a43-d45f-42d6-b8c9-e1a3457db5b7;HU|6b229040-c589-4408-b4c1-4285663d20a8;DA|5d49c027-8956-412b-aa16-e85a0f96ad0e;HR|2f555653-ed1a-4fe6-8362-9082d95989e5;SV|c2ed69e7-a339-43d7-8f22-d93680a92aa0;LV|46f7e311-5d9f-4663-b433-18aeccb7ace7;GA|762d2456-c427-4ecb-b312-af3dad8e258c;MT|7df99101-6854-4a26-b53a-b88c0da02c26;LT|a7ff5ce7-6123-4f68-865a-a57c31810414;SQ|5ac17240-8d11-45ec-9893-659b209d7a00;TR|6e4ededd-04c4-4fa0-94e0-1028050302d5;SK|46d9fce0-ef79-4f71-b89b-cd6aa82426b8;PT|50ccc04a-eadd-42ae-a0cb-acaf45f812ba;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65;#ET|ff6c3f4c-b02c-4c3c-ab07-2c37995a7a0a;#162;#TR|6e4ededd-04c4-4fa0-94e0-1028050302d5;#72;#GA|762d2456-c427-4ecb-b312-af3dad8e258c;#246;#ME|925b3da5-5ac0-4b3c-928c-6ef66a5c9b3c;#154;#SQ|5ac17240-8d11-45ec-9893-659b209d7a00;#64;#PT|50ccc04a-eadd-42ae-a0cb-acaf45f812ba;#152;#MK|34ce48bb-063e-4413-a932-50853dc71c5c;#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57;#RO|feb747a2-64cd-4299-af12-4833ddc30497</vt:lpwstr>
  </property>
</Properties>
</file>